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9FD74" w14:textId="3947325C"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84</w:t>
      </w:r>
      <w:r w:rsidR="00AC4914">
        <w:rPr>
          <w:noProof w:val="0"/>
          <w:sz w:val="24"/>
          <w:szCs w:val="24"/>
          <w:lang w:val="sv-SE"/>
        </w:rPr>
        <w:t>bis</w:t>
      </w:r>
      <w:r>
        <w:rPr>
          <w:noProof w:val="0"/>
          <w:sz w:val="24"/>
          <w:szCs w:val="24"/>
          <w:lang w:val="sv-SE"/>
        </w:rPr>
        <w:tab/>
        <w:t>R4-</w:t>
      </w:r>
      <w:r w:rsidR="004276ED" w:rsidRPr="004276ED">
        <w:t xml:space="preserve"> </w:t>
      </w:r>
      <w:bookmarkStart w:id="0" w:name="_GoBack"/>
      <w:r w:rsidR="00886DB7" w:rsidRPr="00886DB7">
        <w:rPr>
          <w:noProof w:val="0"/>
          <w:sz w:val="24"/>
          <w:szCs w:val="24"/>
          <w:lang w:val="sv-SE"/>
        </w:rPr>
        <w:t>1710602</w:t>
      </w:r>
      <w:bookmarkEnd w:id="0"/>
    </w:p>
    <w:p w14:paraId="5DAD2906" w14:textId="737B62F8" w:rsidR="00AC1D3D" w:rsidRDefault="00AC4914" w:rsidP="00AC1D3D">
      <w:pPr>
        <w:pStyle w:val="CRCoverPage"/>
        <w:outlineLvl w:val="0"/>
        <w:rPr>
          <w:b/>
          <w:noProof/>
          <w:sz w:val="24"/>
        </w:rPr>
      </w:pPr>
      <w:r>
        <w:rPr>
          <w:b/>
          <w:sz w:val="24"/>
          <w:szCs w:val="24"/>
        </w:rPr>
        <w:t>Dubrovnik</w:t>
      </w:r>
      <w:r w:rsidR="00AC1D3D">
        <w:rPr>
          <w:b/>
          <w:noProof/>
          <w:sz w:val="24"/>
        </w:rPr>
        <w:t xml:space="preserve">, </w:t>
      </w:r>
      <w:r>
        <w:rPr>
          <w:b/>
          <w:noProof/>
          <w:sz w:val="24"/>
        </w:rPr>
        <w:t>Croatia</w:t>
      </w:r>
      <w:r w:rsidR="00AC1D3D">
        <w:rPr>
          <w:b/>
          <w:noProof/>
          <w:sz w:val="24"/>
        </w:rPr>
        <w:t xml:space="preserve">, </w:t>
      </w:r>
      <w:r>
        <w:rPr>
          <w:b/>
          <w:noProof/>
          <w:sz w:val="24"/>
        </w:rPr>
        <w:t>9</w:t>
      </w:r>
      <w:r>
        <w:rPr>
          <w:b/>
          <w:noProof/>
          <w:sz w:val="24"/>
          <w:vertAlign w:val="superscript"/>
        </w:rPr>
        <w:t>th</w:t>
      </w:r>
      <w:r>
        <w:rPr>
          <w:b/>
          <w:noProof/>
          <w:sz w:val="24"/>
        </w:rPr>
        <w:t xml:space="preserve"> – 15</w:t>
      </w:r>
      <w:r w:rsidR="000822D8">
        <w:fldChar w:fldCharType="begin"/>
      </w:r>
      <w:r w:rsidR="000822D8">
        <w:instrText xml:space="preserve"> DOCPROPERTY  EndDate  \* MERGEFORMAT </w:instrText>
      </w:r>
      <w:r w:rsidR="000822D8">
        <w:fldChar w:fldCharType="separate"/>
      </w:r>
      <w:r w:rsidR="00AC1D3D" w:rsidRPr="00B6437C">
        <w:rPr>
          <w:b/>
          <w:noProof/>
          <w:sz w:val="24"/>
          <w:vertAlign w:val="superscript"/>
        </w:rPr>
        <w:t>th</w:t>
      </w:r>
      <w:r w:rsidR="00AC1D3D">
        <w:rPr>
          <w:b/>
          <w:noProof/>
          <w:sz w:val="24"/>
        </w:rPr>
        <w:t xml:space="preserve"> </w:t>
      </w:r>
      <w:r>
        <w:rPr>
          <w:b/>
          <w:noProof/>
          <w:sz w:val="24"/>
        </w:rPr>
        <w:t>Octocber</w:t>
      </w:r>
      <w:r w:rsidR="00AC1D3D" w:rsidRPr="00BA51D9">
        <w:rPr>
          <w:b/>
          <w:noProof/>
          <w:sz w:val="24"/>
        </w:rPr>
        <w:t xml:space="preserve"> </w:t>
      </w:r>
      <w:r w:rsidR="00AC1D3D">
        <w:rPr>
          <w:b/>
          <w:noProof/>
          <w:sz w:val="24"/>
        </w:rPr>
        <w:t>2017</w:t>
      </w:r>
      <w:r w:rsidR="000822D8">
        <w:rPr>
          <w:b/>
          <w:noProof/>
          <w:sz w:val="24"/>
        </w:rPr>
        <w:fldChar w:fldCharType="end"/>
      </w:r>
    </w:p>
    <w:p w14:paraId="570BBBDF" w14:textId="77777777"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14:paraId="78333B0A" w14:textId="77777777" w:rsidR="00AC1D3D" w:rsidRDefault="00AC1D3D" w:rsidP="00AC1D3D">
      <w:pPr>
        <w:pStyle w:val="Footer"/>
        <w:jc w:val="both"/>
        <w:rPr>
          <w:noProof w:val="0"/>
        </w:rPr>
      </w:pPr>
    </w:p>
    <w:p w14:paraId="606CF773" w14:textId="19EA7079"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886DB7">
        <w:rPr>
          <w:rFonts w:ascii="Arial" w:hAnsi="Arial"/>
          <w:sz w:val="24"/>
        </w:rPr>
        <w:t>5.6.3</w:t>
      </w:r>
    </w:p>
    <w:p w14:paraId="4F5DEAB1" w14:textId="77777777"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61016210" w14:textId="1BDE4D5A"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886DB7">
        <w:rPr>
          <w:rFonts w:ascii="Arial" w:hAnsi="Arial"/>
          <w:sz w:val="24"/>
        </w:rPr>
        <w:t>ICS value in Power Imbalance Test.</w:t>
      </w:r>
    </w:p>
    <w:p w14:paraId="0D1BF0E2" w14:textId="77777777"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14:paraId="03F4C541" w14:textId="77777777" w:rsidR="00AC1D3D" w:rsidRDefault="00AC1D3D" w:rsidP="00AC1D3D">
      <w:pPr>
        <w:pStyle w:val="Heading1"/>
      </w:pPr>
      <w:r w:rsidRPr="001C39F7">
        <w:t>Introduction</w:t>
      </w:r>
    </w:p>
    <w:p w14:paraId="603FF619" w14:textId="77777777" w:rsidR="00341F52" w:rsidRDefault="009B58F4" w:rsidP="00341F52">
      <w:pPr>
        <w:pStyle w:val="B1"/>
        <w:ind w:left="0" w:firstLine="0"/>
      </w:pPr>
      <w:r>
        <w:t xml:space="preserve">In RAN4#84 meeting, a WF is agreed for company to re-evaluate possible value for ICS, where certain </w:t>
      </w:r>
      <w:r w:rsidR="00BB66BF">
        <w:t>AGC and ADC imperfection are simulated explicitly.</w:t>
      </w:r>
    </w:p>
    <w:p w14:paraId="10D112B9" w14:textId="77777777" w:rsidR="00BB66BF" w:rsidRPr="00657AB4" w:rsidRDefault="00BB66BF" w:rsidP="00341F52">
      <w:pPr>
        <w:pStyle w:val="B1"/>
        <w:ind w:left="0" w:firstLine="0"/>
      </w:pPr>
      <w:r>
        <w:t>We present in this paper our simulation results and our conclusion from them.</w:t>
      </w:r>
    </w:p>
    <w:p w14:paraId="3FC7FD6D" w14:textId="77777777" w:rsidR="00AC1D3D" w:rsidRDefault="00341F52" w:rsidP="00AC1D3D">
      <w:pPr>
        <w:pStyle w:val="Heading1"/>
      </w:pPr>
      <w:r>
        <w:t>Simulation Assumptions</w:t>
      </w:r>
    </w:p>
    <w:p w14:paraId="76521D9B" w14:textId="77777777" w:rsidR="00341F52" w:rsidRDefault="00BB66BF" w:rsidP="00341F52">
      <w:pPr>
        <w:pStyle w:val="Heading2"/>
      </w:pPr>
      <w:r>
        <w:t>AGC-ADC assumption</w:t>
      </w:r>
    </w:p>
    <w:p w14:paraId="4746A970" w14:textId="77777777" w:rsidR="00074410" w:rsidRDefault="00BB66BF" w:rsidP="00074410">
      <w:pPr>
        <w:rPr>
          <w:rFonts w:ascii="Times New Roman" w:hAnsi="Times New Roman" w:cs="Times New Roman"/>
          <w:lang w:val="en-GB"/>
        </w:rPr>
      </w:pPr>
      <w:r>
        <w:rPr>
          <w:rFonts w:ascii="Times New Roman" w:hAnsi="Times New Roman" w:cs="Times New Roman"/>
          <w:lang w:val="en-GB"/>
        </w:rPr>
        <w:t>For all RAN4 V2X demodulation simulation, and for Power Imbalance test in particular, it’s always assumed that the first OFDM symbols is lost to AGC training. Thus, it is reasonable to assume that AGC has settled from the second OFDM symbols. By settled we mean that the gain is adjusted such that the output current can fit into the ADC dynamic range with a comfortable margin.</w:t>
      </w:r>
    </w:p>
    <w:p w14:paraId="7CDEF757" w14:textId="1EADAD31" w:rsidR="00BB66BF" w:rsidRDefault="00BB66BF" w:rsidP="00074410">
      <w:pPr>
        <w:rPr>
          <w:rFonts w:ascii="Times New Roman" w:hAnsi="Times New Roman" w:cs="Times New Roman"/>
          <w:lang w:val="en-GB"/>
        </w:rPr>
      </w:pPr>
      <w:r>
        <w:rPr>
          <w:rFonts w:ascii="Times New Roman" w:hAnsi="Times New Roman" w:cs="Times New Roman"/>
          <w:lang w:val="en-GB"/>
        </w:rPr>
        <w:t xml:space="preserve">For ADC, we consider </w:t>
      </w:r>
      <w:r w:rsidR="00145BA7">
        <w:rPr>
          <w:rFonts w:ascii="Times New Roman" w:hAnsi="Times New Roman" w:cs="Times New Roman"/>
          <w:lang w:val="en-GB"/>
        </w:rPr>
        <w:t>10 ADC bits for each of the I and Q component</w:t>
      </w:r>
      <w:r>
        <w:rPr>
          <w:rFonts w:ascii="Times New Roman" w:hAnsi="Times New Roman" w:cs="Times New Roman"/>
          <w:lang w:val="en-GB"/>
        </w:rPr>
        <w:t>. We als</w:t>
      </w:r>
      <w:r w:rsidR="00145BA7">
        <w:rPr>
          <w:rFonts w:ascii="Times New Roman" w:hAnsi="Times New Roman" w:cs="Times New Roman"/>
          <w:lang w:val="en-GB"/>
        </w:rPr>
        <w:t>o consider a typical ADC back-</w:t>
      </w:r>
      <w:r>
        <w:rPr>
          <w:rFonts w:ascii="Times New Roman" w:hAnsi="Times New Roman" w:cs="Times New Roman"/>
          <w:lang w:val="en-GB"/>
        </w:rPr>
        <w:t>off of 18dB and 20dB. The dynamic range of ADC is derived in the simulation as follows:</w:t>
      </w:r>
    </w:p>
    <w:p w14:paraId="70F23059" w14:textId="77777777" w:rsidR="009C1566" w:rsidRDefault="009C1566" w:rsidP="00BB66BF">
      <w:pPr>
        <w:pStyle w:val="ListParagraph"/>
        <w:numPr>
          <w:ilvl w:val="0"/>
          <w:numId w:val="26"/>
        </w:numPr>
        <w:rPr>
          <w:rFonts w:ascii="Times New Roman" w:hAnsi="Times New Roman" w:cs="Times New Roman"/>
          <w:lang w:val="en-GB"/>
        </w:rPr>
      </w:pPr>
      <w:r>
        <w:rPr>
          <w:rFonts w:ascii="Times New Roman" w:hAnsi="Times New Roman" w:cs="Times New Roman"/>
          <w:lang w:val="en-GB"/>
        </w:rPr>
        <w:t>The reference voltage will be the average voltage of the last 1/8</w:t>
      </w:r>
      <w:r w:rsidRPr="009C1566">
        <w:rPr>
          <w:rFonts w:ascii="Times New Roman" w:hAnsi="Times New Roman" w:cs="Times New Roman"/>
          <w:vertAlign w:val="superscript"/>
          <w:lang w:val="en-GB"/>
        </w:rPr>
        <w:t>th</w:t>
      </w:r>
      <w:r>
        <w:rPr>
          <w:rFonts w:ascii="Times New Roman" w:hAnsi="Times New Roman" w:cs="Times New Roman"/>
          <w:lang w:val="en-GB"/>
        </w:rPr>
        <w:t xml:space="preserve"> portion of the first OFDM symbol. If this value if different for I and Q branches, the larger value is used. The rationale is that according to RAN4 assumption on AGC training, the gain has stabilized such that the AGC outcome voltage is within the input range of ADC.</w:t>
      </w:r>
    </w:p>
    <w:p w14:paraId="242A4F36" w14:textId="77777777" w:rsidR="00145BA7" w:rsidRDefault="009C1566" w:rsidP="00145BA7">
      <w:pPr>
        <w:pStyle w:val="ListParagraph"/>
        <w:numPr>
          <w:ilvl w:val="0"/>
          <w:numId w:val="26"/>
        </w:numPr>
        <w:rPr>
          <w:rFonts w:ascii="Times New Roman" w:hAnsi="Times New Roman" w:cs="Times New Roman"/>
          <w:lang w:val="en-GB"/>
        </w:rPr>
      </w:pPr>
      <w:r>
        <w:rPr>
          <w:rFonts w:ascii="Times New Roman" w:hAnsi="Times New Roman" w:cs="Times New Roman"/>
          <w:lang w:val="en-GB"/>
        </w:rPr>
        <w:t>The max input voltage range of ADC is then +</w:t>
      </w:r>
      <w:r w:rsidR="00145BA7">
        <w:rPr>
          <w:rFonts w:ascii="Times New Roman" w:hAnsi="Times New Roman" w:cs="Times New Roman"/>
          <w:lang w:val="en-GB"/>
        </w:rPr>
        <w:t>/-</w:t>
      </w:r>
      <w:r>
        <w:rPr>
          <w:rFonts w:ascii="Times New Roman" w:hAnsi="Times New Roman" w:cs="Times New Roman"/>
          <w:lang w:val="en-GB"/>
        </w:rPr>
        <w:t xml:space="preserve"> ref voltage * 10^(back</w:t>
      </w:r>
      <w:r w:rsidR="00145BA7">
        <w:rPr>
          <w:rFonts w:ascii="Times New Roman" w:hAnsi="Times New Roman" w:cs="Times New Roman"/>
          <w:lang w:val="en-GB"/>
        </w:rPr>
        <w:t>-</w:t>
      </w:r>
      <w:r>
        <w:rPr>
          <w:rFonts w:ascii="Times New Roman" w:hAnsi="Times New Roman" w:cs="Times New Roman"/>
          <w:lang w:val="en-GB"/>
        </w:rPr>
        <w:t>off/10)</w:t>
      </w:r>
      <w:r w:rsidR="00B52D8D">
        <w:rPr>
          <w:rFonts w:ascii="Times New Roman" w:hAnsi="Times New Roman" w:cs="Times New Roman"/>
          <w:lang w:val="en-GB"/>
        </w:rPr>
        <w:t>. The time domain signal of the consequence OFDM symbols are then uniformly quantized.</w:t>
      </w:r>
      <w:r>
        <w:rPr>
          <w:rFonts w:ascii="Times New Roman" w:hAnsi="Times New Roman" w:cs="Times New Roman"/>
          <w:lang w:val="en-GB"/>
        </w:rPr>
        <w:t xml:space="preserve"> </w:t>
      </w:r>
      <w:r w:rsidR="00145BA7">
        <w:rPr>
          <w:rFonts w:ascii="Times New Roman" w:hAnsi="Times New Roman" w:cs="Times New Roman"/>
          <w:lang w:val="en-GB"/>
        </w:rPr>
        <w:t>Note that this is the simplest form of ADC implementation without any delta-sigma pre-processing. So it’s reasonable to consider this as a baseline assumption.</w:t>
      </w:r>
    </w:p>
    <w:p w14:paraId="3ECFC8A3" w14:textId="58B6976D" w:rsidR="00341F52" w:rsidRDefault="00145BA7" w:rsidP="00341F52">
      <w:pPr>
        <w:pStyle w:val="Heading2"/>
      </w:pPr>
      <w:r>
        <w:t>Reference Channel</w:t>
      </w:r>
    </w:p>
    <w:p w14:paraId="6FDC1320" w14:textId="6C61DE4B" w:rsidR="00145BA7" w:rsidRDefault="00145BA7" w:rsidP="00145BA7">
      <w:pPr>
        <w:rPr>
          <w:rFonts w:ascii="Times New Roman" w:hAnsi="Times New Roman" w:cs="Times New Roman"/>
          <w:lang w:val="en-GB"/>
        </w:rPr>
      </w:pPr>
      <w:r>
        <w:rPr>
          <w:rFonts w:ascii="Times New Roman" w:hAnsi="Times New Roman" w:cs="Times New Roman"/>
          <w:lang w:val="en-GB"/>
        </w:rPr>
        <w:t xml:space="preserve">The reference channel for the weak link will be exactly as specified in </w:t>
      </w:r>
      <w:r w:rsidR="0044478A">
        <w:rPr>
          <w:rFonts w:ascii="Times New Roman" w:hAnsi="Times New Roman" w:cs="Times New Roman"/>
          <w:lang w:val="en-GB"/>
        </w:rPr>
        <w:t>section 14.4 of [</w:t>
      </w:r>
      <w:r w:rsidR="000822D8">
        <w:rPr>
          <w:rFonts w:ascii="Times New Roman" w:hAnsi="Times New Roman" w:cs="Times New Roman"/>
          <w:lang w:val="en-GB"/>
        </w:rPr>
        <w:t>2</w:t>
      </w:r>
      <w:r w:rsidR="0044478A">
        <w:rPr>
          <w:rFonts w:ascii="Times New Roman" w:hAnsi="Times New Roman" w:cs="Times New Roman"/>
          <w:lang w:val="en-GB"/>
        </w:rPr>
        <w:t>]. For the strong link, since there is no demodulation requirement, we approximate it by random modulated QPSK signal. The signal strength of the strong link is set as: Noc + 28.35, Noc + 31.35 and Noc + 33.35; which is equivalent to ICS values of 25, 28 and 30 dBc, correspondingly. The signal strength of the weak link is varied to simulate different SNR level.</w:t>
      </w:r>
    </w:p>
    <w:p w14:paraId="12098FE3" w14:textId="4349C7E2" w:rsidR="0044478A" w:rsidRDefault="0044478A" w:rsidP="00145BA7">
      <w:pPr>
        <w:rPr>
          <w:rFonts w:ascii="Times New Roman" w:hAnsi="Times New Roman" w:cs="Times New Roman"/>
          <w:lang w:val="en-GB"/>
        </w:rPr>
      </w:pPr>
      <w:r>
        <w:rPr>
          <w:rFonts w:ascii="Times New Roman" w:hAnsi="Times New Roman" w:cs="Times New Roman"/>
          <w:lang w:val="en-GB"/>
        </w:rPr>
        <w:t>The reference simulation path is ass follow</w:t>
      </w:r>
      <w:r w:rsidR="00EB39FB">
        <w:rPr>
          <w:rFonts w:ascii="Times New Roman" w:hAnsi="Times New Roman" w:cs="Times New Roman"/>
          <w:lang w:val="en-GB"/>
        </w:rPr>
        <w:t>:</w:t>
      </w:r>
    </w:p>
    <w:p w14:paraId="00860917" w14:textId="0514252C" w:rsidR="00EB39FB" w:rsidRPr="00EB39FB" w:rsidRDefault="00EB39FB" w:rsidP="00EB39FB">
      <w:pPr>
        <w:pStyle w:val="ListParagraph"/>
        <w:numPr>
          <w:ilvl w:val="0"/>
          <w:numId w:val="27"/>
        </w:numPr>
        <w:rPr>
          <w:lang w:val="en-GB"/>
        </w:rPr>
      </w:pPr>
      <w:r>
        <w:rPr>
          <w:rFonts w:ascii="Times New Roman" w:hAnsi="Times New Roman" w:cs="Times New Roman"/>
          <w:lang w:val="en-GB"/>
        </w:rPr>
        <w:t>Weak link and strong link signal are generated at the transmitter.</w:t>
      </w:r>
    </w:p>
    <w:p w14:paraId="70E2ABC0" w14:textId="01B6DD4E" w:rsidR="00EB39FB" w:rsidRPr="00EB39FB" w:rsidRDefault="00EB39FB" w:rsidP="00EB39FB">
      <w:pPr>
        <w:pStyle w:val="ListParagraph"/>
        <w:numPr>
          <w:ilvl w:val="0"/>
          <w:numId w:val="27"/>
        </w:numPr>
        <w:rPr>
          <w:lang w:val="en-GB"/>
        </w:rPr>
      </w:pPr>
      <w:r>
        <w:rPr>
          <w:rFonts w:ascii="Times New Roman" w:hAnsi="Times New Roman" w:cs="Times New Roman"/>
          <w:lang w:val="en-GB"/>
        </w:rPr>
        <w:t>The resulting OFDM symbols go through AGC-ADC modelling block as described above.</w:t>
      </w:r>
    </w:p>
    <w:p w14:paraId="5F54AC6F" w14:textId="6D868A5C" w:rsidR="00EB39FB" w:rsidRPr="00EB39FB" w:rsidRDefault="00EB39FB" w:rsidP="00EB39FB">
      <w:pPr>
        <w:pStyle w:val="ListParagraph"/>
        <w:numPr>
          <w:ilvl w:val="0"/>
          <w:numId w:val="27"/>
        </w:numPr>
        <w:rPr>
          <w:lang w:val="en-GB"/>
        </w:rPr>
      </w:pPr>
      <w:r>
        <w:rPr>
          <w:rFonts w:ascii="Times New Roman" w:hAnsi="Times New Roman" w:cs="Times New Roman"/>
          <w:lang w:val="en-GB"/>
        </w:rPr>
        <w:t>The quantized signal is then ifft-ed, and the weak link signal is extracted at the corresponding tones.</w:t>
      </w:r>
    </w:p>
    <w:p w14:paraId="5D76EC26" w14:textId="15897AF8" w:rsidR="00EB39FB" w:rsidRPr="00EB39FB" w:rsidRDefault="00EB39FB" w:rsidP="00EB39FB">
      <w:pPr>
        <w:pStyle w:val="ListParagraph"/>
        <w:numPr>
          <w:ilvl w:val="0"/>
          <w:numId w:val="27"/>
        </w:numPr>
        <w:rPr>
          <w:lang w:val="en-GB"/>
        </w:rPr>
      </w:pPr>
      <w:r>
        <w:rPr>
          <w:rFonts w:ascii="Times New Roman" w:hAnsi="Times New Roman" w:cs="Times New Roman"/>
          <w:lang w:val="en-GB"/>
        </w:rPr>
        <w:t>Signal demodulation is then performed using the existing demodulation simulator.</w:t>
      </w:r>
    </w:p>
    <w:p w14:paraId="63FBFF13" w14:textId="1FE43122" w:rsidR="005E3CE1" w:rsidRDefault="008460DE" w:rsidP="005E3CE1">
      <w:pPr>
        <w:pStyle w:val="Heading1"/>
      </w:pPr>
      <w:r>
        <w:lastRenderedPageBreak/>
        <w:t>Simulation Result</w:t>
      </w:r>
    </w:p>
    <w:p w14:paraId="103DABF0" w14:textId="39D77DF8" w:rsidR="00EB39FB" w:rsidRPr="00EB39FB" w:rsidRDefault="00EB39FB" w:rsidP="00EB39FB">
      <w:pPr>
        <w:rPr>
          <w:rFonts w:ascii="Times New Roman" w:hAnsi="Times New Roman" w:cs="Times New Roman"/>
          <w:lang w:val="en-GB"/>
        </w:rPr>
      </w:pPr>
      <w:r w:rsidRPr="00EB39FB">
        <w:rPr>
          <w:rFonts w:ascii="Times New Roman" w:hAnsi="Times New Roman" w:cs="Times New Roman"/>
          <w:lang w:val="en-GB"/>
        </w:rPr>
        <w:t>We present in this section the simulation results under the setting described in Section 2.</w:t>
      </w:r>
    </w:p>
    <w:p w14:paraId="27E400A0" w14:textId="71DB01AF" w:rsidR="009C1566" w:rsidRDefault="009C1566" w:rsidP="00EB39FB">
      <w:pPr>
        <w:jc w:val="center"/>
        <w:rPr>
          <w:lang w:val="en-GB"/>
        </w:rPr>
      </w:pPr>
      <w:r>
        <w:rPr>
          <w:noProof/>
          <w:lang w:val="en-GB"/>
        </w:rPr>
        <w:drawing>
          <wp:inline distT="0" distB="0" distL="0" distR="0" wp14:anchorId="0B32DA82" wp14:editId="36C8321C">
            <wp:extent cx="5265420" cy="3680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S.jpg"/>
                    <pic:cNvPicPr/>
                  </pic:nvPicPr>
                  <pic:blipFill rotWithShape="1">
                    <a:blip r:embed="rId11">
                      <a:extLst>
                        <a:ext uri="{28A0092B-C50C-407E-A947-70E740481C1C}">
                          <a14:useLocalDpi xmlns:a14="http://schemas.microsoft.com/office/drawing/2010/main" val="0"/>
                        </a:ext>
                      </a:extLst>
                    </a:blip>
                    <a:srcRect l="7475" t="3538" r="6426" b="6504"/>
                    <a:stretch/>
                  </pic:blipFill>
                  <pic:spPr bwMode="auto">
                    <a:xfrm>
                      <a:off x="0" y="0"/>
                      <a:ext cx="5265420" cy="3680460"/>
                    </a:xfrm>
                    <a:prstGeom prst="rect">
                      <a:avLst/>
                    </a:prstGeom>
                    <a:ln>
                      <a:noFill/>
                    </a:ln>
                    <a:extLst>
                      <a:ext uri="{53640926-AAD7-44D8-BBD7-CCE9431645EC}">
                        <a14:shadowObscured xmlns:a14="http://schemas.microsoft.com/office/drawing/2010/main"/>
                      </a:ext>
                    </a:extLst>
                  </pic:spPr>
                </pic:pic>
              </a:graphicData>
            </a:graphic>
          </wp:inline>
        </w:drawing>
      </w:r>
    </w:p>
    <w:p w14:paraId="79DC81A5" w14:textId="0888CCB2" w:rsidR="00EB39FB" w:rsidRDefault="00EB39FB" w:rsidP="00EB39FB">
      <w:pPr>
        <w:rPr>
          <w:lang w:val="en-GB"/>
        </w:rPr>
      </w:pPr>
      <w:r>
        <w:rPr>
          <w:lang w:val="en-GB"/>
        </w:rPr>
        <w:t>In particular, the 10% demodulation SNR level is captured in the below table</w:t>
      </w:r>
    </w:p>
    <w:tbl>
      <w:tblPr>
        <w:tblStyle w:val="TableGrid"/>
        <w:tblW w:w="0" w:type="auto"/>
        <w:tblLook w:val="04A0" w:firstRow="1" w:lastRow="0" w:firstColumn="1" w:lastColumn="0" w:noHBand="0" w:noVBand="1"/>
      </w:tblPr>
      <w:tblGrid>
        <w:gridCol w:w="2405"/>
        <w:gridCol w:w="2405"/>
        <w:gridCol w:w="2405"/>
        <w:gridCol w:w="2406"/>
      </w:tblGrid>
      <w:tr w:rsidR="00EB39FB" w14:paraId="253A0718" w14:textId="77777777" w:rsidTr="00EB39FB">
        <w:tc>
          <w:tcPr>
            <w:tcW w:w="2405" w:type="dxa"/>
            <w:shd w:val="clear" w:color="auto" w:fill="00B0F0"/>
          </w:tcPr>
          <w:p w14:paraId="6B9F418C" w14:textId="6B62B4C1" w:rsidR="00EB39FB" w:rsidRDefault="00EB39FB" w:rsidP="00EB39FB">
            <w:pPr>
              <w:jc w:val="center"/>
              <w:rPr>
                <w:lang w:val="en-GB"/>
              </w:rPr>
            </w:pPr>
            <w:r>
              <w:rPr>
                <w:lang w:val="en-GB"/>
              </w:rPr>
              <w:t>ADC Back-off</w:t>
            </w:r>
          </w:p>
        </w:tc>
        <w:tc>
          <w:tcPr>
            <w:tcW w:w="2405" w:type="dxa"/>
            <w:shd w:val="clear" w:color="auto" w:fill="00B0F0"/>
          </w:tcPr>
          <w:p w14:paraId="57A28FAB" w14:textId="290DE1B5" w:rsidR="00EB39FB" w:rsidRDefault="00EB39FB" w:rsidP="00EB39FB">
            <w:pPr>
              <w:jc w:val="center"/>
              <w:rPr>
                <w:lang w:val="en-GB"/>
              </w:rPr>
            </w:pPr>
            <w:r>
              <w:rPr>
                <w:lang w:val="en-GB"/>
              </w:rPr>
              <w:t>Strong link SNR</w:t>
            </w:r>
          </w:p>
        </w:tc>
        <w:tc>
          <w:tcPr>
            <w:tcW w:w="2405" w:type="dxa"/>
            <w:shd w:val="clear" w:color="auto" w:fill="00B0F0"/>
          </w:tcPr>
          <w:p w14:paraId="126E7E0C" w14:textId="5F9E927A" w:rsidR="00EB39FB" w:rsidRDefault="00EB39FB" w:rsidP="00EB39FB">
            <w:pPr>
              <w:jc w:val="center"/>
              <w:rPr>
                <w:lang w:val="en-GB"/>
              </w:rPr>
            </w:pPr>
            <w:r>
              <w:rPr>
                <w:lang w:val="en-GB"/>
              </w:rPr>
              <w:t>ICS</w:t>
            </w:r>
          </w:p>
        </w:tc>
        <w:tc>
          <w:tcPr>
            <w:tcW w:w="2406" w:type="dxa"/>
            <w:shd w:val="clear" w:color="auto" w:fill="00B0F0"/>
          </w:tcPr>
          <w:p w14:paraId="33E64D8E" w14:textId="111F7A77" w:rsidR="00EB39FB" w:rsidRDefault="00EB39FB" w:rsidP="00EB39FB">
            <w:pPr>
              <w:jc w:val="center"/>
              <w:rPr>
                <w:lang w:val="en-GB"/>
              </w:rPr>
            </w:pPr>
            <w:r>
              <w:rPr>
                <w:lang w:val="en-GB"/>
              </w:rPr>
              <w:t>10% SNR</w:t>
            </w:r>
          </w:p>
        </w:tc>
      </w:tr>
      <w:tr w:rsidR="00EB39FB" w14:paraId="2B950A0E" w14:textId="77777777" w:rsidTr="00437456">
        <w:tc>
          <w:tcPr>
            <w:tcW w:w="2405" w:type="dxa"/>
          </w:tcPr>
          <w:p w14:paraId="3E2EFAA3" w14:textId="5795C4C2" w:rsidR="00EB39FB" w:rsidRDefault="00EB39FB" w:rsidP="00EB39FB">
            <w:pPr>
              <w:jc w:val="center"/>
              <w:rPr>
                <w:lang w:val="en-GB"/>
              </w:rPr>
            </w:pPr>
            <w:r>
              <w:rPr>
                <w:lang w:val="en-GB"/>
              </w:rPr>
              <w:t>18</w:t>
            </w:r>
          </w:p>
        </w:tc>
        <w:tc>
          <w:tcPr>
            <w:tcW w:w="2405" w:type="dxa"/>
          </w:tcPr>
          <w:p w14:paraId="2B520DAB" w14:textId="00F411A1" w:rsidR="00EB39FB" w:rsidRDefault="00EB39FB" w:rsidP="00EB39FB">
            <w:pPr>
              <w:jc w:val="center"/>
              <w:rPr>
                <w:lang w:val="en-GB"/>
              </w:rPr>
            </w:pPr>
            <w:r>
              <w:rPr>
                <w:lang w:val="en-GB"/>
              </w:rPr>
              <w:t>33.35</w:t>
            </w:r>
          </w:p>
        </w:tc>
        <w:tc>
          <w:tcPr>
            <w:tcW w:w="2405" w:type="dxa"/>
          </w:tcPr>
          <w:p w14:paraId="05E3136B" w14:textId="13131F4D" w:rsidR="00EB39FB" w:rsidRDefault="00EB39FB" w:rsidP="00EB39FB">
            <w:pPr>
              <w:jc w:val="center"/>
              <w:rPr>
                <w:lang w:val="en-GB"/>
              </w:rPr>
            </w:pPr>
            <w:r>
              <w:rPr>
                <w:lang w:val="en-GB"/>
              </w:rPr>
              <w:t>30</w:t>
            </w:r>
          </w:p>
        </w:tc>
        <w:tc>
          <w:tcPr>
            <w:tcW w:w="2406" w:type="dxa"/>
            <w:shd w:val="clear" w:color="auto" w:fill="FF0000"/>
          </w:tcPr>
          <w:p w14:paraId="736CAF7B" w14:textId="29C5AD30" w:rsidR="00EB39FB" w:rsidRDefault="00EB39FB" w:rsidP="00EB39FB">
            <w:pPr>
              <w:jc w:val="center"/>
              <w:rPr>
                <w:lang w:val="en-GB"/>
              </w:rPr>
            </w:pPr>
            <w:r>
              <w:rPr>
                <w:lang w:val="en-GB"/>
              </w:rPr>
              <w:t>8.1</w:t>
            </w:r>
          </w:p>
        </w:tc>
      </w:tr>
      <w:tr w:rsidR="00EB39FB" w14:paraId="6285E4F5" w14:textId="77777777" w:rsidTr="00EB39FB">
        <w:tc>
          <w:tcPr>
            <w:tcW w:w="2405" w:type="dxa"/>
          </w:tcPr>
          <w:p w14:paraId="0FAF850B" w14:textId="77777777" w:rsidR="00EB39FB" w:rsidRDefault="00EB39FB" w:rsidP="00EB39FB">
            <w:pPr>
              <w:jc w:val="center"/>
              <w:rPr>
                <w:lang w:val="en-GB"/>
              </w:rPr>
            </w:pPr>
          </w:p>
        </w:tc>
        <w:tc>
          <w:tcPr>
            <w:tcW w:w="2405" w:type="dxa"/>
          </w:tcPr>
          <w:p w14:paraId="5B8FB52F" w14:textId="110BA694" w:rsidR="00EB39FB" w:rsidRDefault="00EB39FB" w:rsidP="00EB39FB">
            <w:pPr>
              <w:jc w:val="center"/>
              <w:rPr>
                <w:lang w:val="en-GB"/>
              </w:rPr>
            </w:pPr>
            <w:r>
              <w:rPr>
                <w:lang w:val="en-GB"/>
              </w:rPr>
              <w:t>31.35</w:t>
            </w:r>
          </w:p>
        </w:tc>
        <w:tc>
          <w:tcPr>
            <w:tcW w:w="2405" w:type="dxa"/>
          </w:tcPr>
          <w:p w14:paraId="3326C323" w14:textId="2D0EF883" w:rsidR="00EB39FB" w:rsidRDefault="00EB39FB" w:rsidP="00EB39FB">
            <w:pPr>
              <w:jc w:val="center"/>
              <w:rPr>
                <w:lang w:val="en-GB"/>
              </w:rPr>
            </w:pPr>
            <w:r>
              <w:rPr>
                <w:lang w:val="en-GB"/>
              </w:rPr>
              <w:t>28</w:t>
            </w:r>
          </w:p>
        </w:tc>
        <w:tc>
          <w:tcPr>
            <w:tcW w:w="2406" w:type="dxa"/>
          </w:tcPr>
          <w:p w14:paraId="7118E13D" w14:textId="2E441D30" w:rsidR="00EB39FB" w:rsidRDefault="00EB39FB" w:rsidP="00EB39FB">
            <w:pPr>
              <w:jc w:val="center"/>
              <w:rPr>
                <w:lang w:val="en-GB"/>
              </w:rPr>
            </w:pPr>
            <w:r>
              <w:rPr>
                <w:lang w:val="en-GB"/>
              </w:rPr>
              <w:t>7.2</w:t>
            </w:r>
          </w:p>
        </w:tc>
      </w:tr>
      <w:tr w:rsidR="00EB39FB" w14:paraId="48D146FC" w14:textId="77777777" w:rsidTr="00EB39FB">
        <w:tc>
          <w:tcPr>
            <w:tcW w:w="2405" w:type="dxa"/>
          </w:tcPr>
          <w:p w14:paraId="45AD7853" w14:textId="77777777" w:rsidR="00EB39FB" w:rsidRDefault="00EB39FB" w:rsidP="00EB39FB">
            <w:pPr>
              <w:jc w:val="center"/>
              <w:rPr>
                <w:lang w:val="en-GB"/>
              </w:rPr>
            </w:pPr>
          </w:p>
        </w:tc>
        <w:tc>
          <w:tcPr>
            <w:tcW w:w="2405" w:type="dxa"/>
          </w:tcPr>
          <w:p w14:paraId="2AEDE284" w14:textId="0584F212" w:rsidR="00EB39FB" w:rsidRDefault="00EB39FB" w:rsidP="00EB39FB">
            <w:pPr>
              <w:jc w:val="center"/>
              <w:rPr>
                <w:lang w:val="en-GB"/>
              </w:rPr>
            </w:pPr>
            <w:r>
              <w:rPr>
                <w:lang w:val="en-GB"/>
              </w:rPr>
              <w:t>28.35</w:t>
            </w:r>
          </w:p>
        </w:tc>
        <w:tc>
          <w:tcPr>
            <w:tcW w:w="2405" w:type="dxa"/>
          </w:tcPr>
          <w:p w14:paraId="0317BE0B" w14:textId="2EE9DB83" w:rsidR="00EB39FB" w:rsidRDefault="00EB39FB" w:rsidP="00EB39FB">
            <w:pPr>
              <w:jc w:val="center"/>
              <w:rPr>
                <w:lang w:val="en-GB"/>
              </w:rPr>
            </w:pPr>
            <w:r>
              <w:rPr>
                <w:lang w:val="en-GB"/>
              </w:rPr>
              <w:t>25</w:t>
            </w:r>
          </w:p>
        </w:tc>
        <w:tc>
          <w:tcPr>
            <w:tcW w:w="2406" w:type="dxa"/>
          </w:tcPr>
          <w:p w14:paraId="40E2688A" w14:textId="2056B9D3" w:rsidR="00EB39FB" w:rsidRDefault="00EB39FB" w:rsidP="00EB39FB">
            <w:pPr>
              <w:jc w:val="center"/>
              <w:rPr>
                <w:lang w:val="en-GB"/>
              </w:rPr>
            </w:pPr>
            <w:r>
              <w:rPr>
                <w:lang w:val="en-GB"/>
              </w:rPr>
              <w:t>6.2</w:t>
            </w:r>
          </w:p>
        </w:tc>
      </w:tr>
      <w:tr w:rsidR="00EB39FB" w14:paraId="150EC409" w14:textId="77777777" w:rsidTr="00EB39FB">
        <w:tc>
          <w:tcPr>
            <w:tcW w:w="2405" w:type="dxa"/>
          </w:tcPr>
          <w:p w14:paraId="1F9CFBA7" w14:textId="669B1EB5" w:rsidR="00EB39FB" w:rsidRDefault="00EB39FB" w:rsidP="00EB39FB">
            <w:pPr>
              <w:jc w:val="center"/>
              <w:rPr>
                <w:lang w:val="en-GB"/>
              </w:rPr>
            </w:pPr>
            <w:r>
              <w:rPr>
                <w:lang w:val="en-GB"/>
              </w:rPr>
              <w:t>20</w:t>
            </w:r>
          </w:p>
        </w:tc>
        <w:tc>
          <w:tcPr>
            <w:tcW w:w="2405" w:type="dxa"/>
          </w:tcPr>
          <w:p w14:paraId="646F01CB" w14:textId="32269856" w:rsidR="00EB39FB" w:rsidRDefault="00EB39FB" w:rsidP="00EB39FB">
            <w:pPr>
              <w:jc w:val="center"/>
              <w:rPr>
                <w:lang w:val="en-GB"/>
              </w:rPr>
            </w:pPr>
            <w:r>
              <w:rPr>
                <w:lang w:val="en-GB"/>
              </w:rPr>
              <w:t>33.35</w:t>
            </w:r>
          </w:p>
        </w:tc>
        <w:tc>
          <w:tcPr>
            <w:tcW w:w="2405" w:type="dxa"/>
          </w:tcPr>
          <w:p w14:paraId="11A4B791" w14:textId="6B186EB0" w:rsidR="00EB39FB" w:rsidRDefault="00EB39FB" w:rsidP="00EB39FB">
            <w:pPr>
              <w:jc w:val="center"/>
              <w:rPr>
                <w:lang w:val="en-GB"/>
              </w:rPr>
            </w:pPr>
            <w:r>
              <w:rPr>
                <w:lang w:val="en-GB"/>
              </w:rPr>
              <w:t>30</w:t>
            </w:r>
          </w:p>
        </w:tc>
        <w:tc>
          <w:tcPr>
            <w:tcW w:w="2406" w:type="dxa"/>
            <w:shd w:val="clear" w:color="auto" w:fill="FF0000"/>
          </w:tcPr>
          <w:p w14:paraId="772301F3" w14:textId="1D861C29" w:rsidR="00EB39FB" w:rsidRPr="00EB39FB" w:rsidRDefault="00EB39FB" w:rsidP="00EB39FB">
            <w:pPr>
              <w:jc w:val="center"/>
              <w:rPr>
                <w:highlight w:val="red"/>
                <w:lang w:val="en-GB"/>
              </w:rPr>
            </w:pPr>
            <w:r w:rsidRPr="00EB39FB">
              <w:rPr>
                <w:highlight w:val="red"/>
                <w:lang w:val="en-GB"/>
              </w:rPr>
              <w:t>10.7</w:t>
            </w:r>
          </w:p>
        </w:tc>
      </w:tr>
      <w:tr w:rsidR="00EB39FB" w14:paraId="73785B81" w14:textId="77777777" w:rsidTr="00EB39FB">
        <w:tc>
          <w:tcPr>
            <w:tcW w:w="2405" w:type="dxa"/>
          </w:tcPr>
          <w:p w14:paraId="7DB9AD99" w14:textId="77777777" w:rsidR="00EB39FB" w:rsidRDefault="00EB39FB" w:rsidP="00EB39FB">
            <w:pPr>
              <w:jc w:val="center"/>
              <w:rPr>
                <w:lang w:val="en-GB"/>
              </w:rPr>
            </w:pPr>
          </w:p>
        </w:tc>
        <w:tc>
          <w:tcPr>
            <w:tcW w:w="2405" w:type="dxa"/>
          </w:tcPr>
          <w:p w14:paraId="5745B39A" w14:textId="43D79111" w:rsidR="00EB39FB" w:rsidRDefault="00EB39FB" w:rsidP="00EB39FB">
            <w:pPr>
              <w:jc w:val="center"/>
              <w:rPr>
                <w:lang w:val="en-GB"/>
              </w:rPr>
            </w:pPr>
            <w:r>
              <w:rPr>
                <w:lang w:val="en-GB"/>
              </w:rPr>
              <w:t>31.35</w:t>
            </w:r>
          </w:p>
        </w:tc>
        <w:tc>
          <w:tcPr>
            <w:tcW w:w="2405" w:type="dxa"/>
          </w:tcPr>
          <w:p w14:paraId="2807FFE0" w14:textId="270D8061" w:rsidR="00EB39FB" w:rsidRDefault="00EB39FB" w:rsidP="00EB39FB">
            <w:pPr>
              <w:jc w:val="center"/>
              <w:rPr>
                <w:lang w:val="en-GB"/>
              </w:rPr>
            </w:pPr>
            <w:r>
              <w:rPr>
                <w:lang w:val="en-GB"/>
              </w:rPr>
              <w:t>28</w:t>
            </w:r>
          </w:p>
        </w:tc>
        <w:tc>
          <w:tcPr>
            <w:tcW w:w="2406" w:type="dxa"/>
          </w:tcPr>
          <w:p w14:paraId="55F0018D" w14:textId="1F0C6081" w:rsidR="00EB39FB" w:rsidRDefault="00EB39FB" w:rsidP="00EB39FB">
            <w:pPr>
              <w:jc w:val="center"/>
              <w:rPr>
                <w:lang w:val="en-GB"/>
              </w:rPr>
            </w:pPr>
            <w:r>
              <w:rPr>
                <w:lang w:val="en-GB"/>
              </w:rPr>
              <w:t>9.2</w:t>
            </w:r>
          </w:p>
        </w:tc>
      </w:tr>
      <w:tr w:rsidR="00EB39FB" w14:paraId="0B63C78D" w14:textId="77777777" w:rsidTr="00EB39FB">
        <w:tc>
          <w:tcPr>
            <w:tcW w:w="2405" w:type="dxa"/>
          </w:tcPr>
          <w:p w14:paraId="72835160" w14:textId="77777777" w:rsidR="00EB39FB" w:rsidRDefault="00EB39FB" w:rsidP="00EB39FB">
            <w:pPr>
              <w:jc w:val="center"/>
              <w:rPr>
                <w:lang w:val="en-GB"/>
              </w:rPr>
            </w:pPr>
          </w:p>
        </w:tc>
        <w:tc>
          <w:tcPr>
            <w:tcW w:w="2405" w:type="dxa"/>
          </w:tcPr>
          <w:p w14:paraId="32D5D459" w14:textId="086B411C" w:rsidR="00EB39FB" w:rsidRDefault="00EB39FB" w:rsidP="00EB39FB">
            <w:pPr>
              <w:jc w:val="center"/>
              <w:rPr>
                <w:lang w:val="en-GB"/>
              </w:rPr>
            </w:pPr>
            <w:r>
              <w:rPr>
                <w:lang w:val="en-GB"/>
              </w:rPr>
              <w:t>28.35</w:t>
            </w:r>
          </w:p>
        </w:tc>
        <w:tc>
          <w:tcPr>
            <w:tcW w:w="2405" w:type="dxa"/>
          </w:tcPr>
          <w:p w14:paraId="50403991" w14:textId="4369A954" w:rsidR="00EB39FB" w:rsidRDefault="00EB39FB" w:rsidP="00EB39FB">
            <w:pPr>
              <w:jc w:val="center"/>
              <w:rPr>
                <w:lang w:val="en-GB"/>
              </w:rPr>
            </w:pPr>
            <w:r>
              <w:rPr>
                <w:lang w:val="en-GB"/>
              </w:rPr>
              <w:t>25</w:t>
            </w:r>
          </w:p>
        </w:tc>
        <w:tc>
          <w:tcPr>
            <w:tcW w:w="2406" w:type="dxa"/>
          </w:tcPr>
          <w:p w14:paraId="4AED4458" w14:textId="38DEF72D" w:rsidR="00EB39FB" w:rsidRDefault="00EB39FB" w:rsidP="00EB39FB">
            <w:pPr>
              <w:jc w:val="center"/>
              <w:rPr>
                <w:lang w:val="en-GB"/>
              </w:rPr>
            </w:pPr>
            <w:r>
              <w:rPr>
                <w:lang w:val="en-GB"/>
              </w:rPr>
              <w:t>7.5</w:t>
            </w:r>
          </w:p>
        </w:tc>
      </w:tr>
    </w:tbl>
    <w:p w14:paraId="735C8358" w14:textId="77777777" w:rsidR="00EB39FB" w:rsidRDefault="00EB39FB" w:rsidP="00EB39FB">
      <w:pPr>
        <w:rPr>
          <w:rFonts w:ascii="Times New Roman" w:hAnsi="Times New Roman" w:cs="Times New Roman"/>
          <w:lang w:val="en-GB"/>
        </w:rPr>
      </w:pPr>
    </w:p>
    <w:p w14:paraId="417BB508" w14:textId="44DA38A6" w:rsidR="00EB39FB" w:rsidRDefault="00EB39FB" w:rsidP="00EB39FB">
      <w:pPr>
        <w:rPr>
          <w:rFonts w:ascii="Times New Roman" w:hAnsi="Times New Roman" w:cs="Times New Roman"/>
          <w:lang w:val="en-GB"/>
        </w:rPr>
      </w:pPr>
      <w:r>
        <w:rPr>
          <w:rFonts w:ascii="Times New Roman" w:hAnsi="Times New Roman" w:cs="Times New Roman"/>
          <w:lang w:val="en-GB"/>
        </w:rPr>
        <w:t>As we can see,</w:t>
      </w:r>
      <w:r w:rsidR="00437456">
        <w:rPr>
          <w:rFonts w:ascii="Times New Roman" w:hAnsi="Times New Roman" w:cs="Times New Roman"/>
          <w:lang w:val="en-GB"/>
        </w:rPr>
        <w:t xml:space="preserve"> even with the highest value of ICS, both options of ADC back-off have sufficient margin compared to the currently specified SNR level of 13.3 dB for this test. So, we think that ICS of 30dBc is clearly a feasible value.</w:t>
      </w:r>
    </w:p>
    <w:p w14:paraId="02BC100D" w14:textId="1B8BAB23" w:rsidR="00437456" w:rsidRPr="00437456" w:rsidRDefault="00437456" w:rsidP="00EB39FB">
      <w:pPr>
        <w:rPr>
          <w:rFonts w:ascii="Times New Roman" w:hAnsi="Times New Roman" w:cs="Times New Roman"/>
          <w:i/>
          <w:u w:val="single"/>
          <w:lang w:val="en-GB"/>
        </w:rPr>
      </w:pPr>
      <w:r w:rsidRPr="00437456">
        <w:rPr>
          <w:rFonts w:ascii="Times New Roman" w:hAnsi="Times New Roman" w:cs="Times New Roman"/>
          <w:b/>
          <w:i/>
          <w:u w:val="single"/>
          <w:lang w:val="en-GB"/>
        </w:rPr>
        <w:t xml:space="preserve">Observation: </w:t>
      </w:r>
      <w:r w:rsidRPr="00437456">
        <w:rPr>
          <w:rFonts w:ascii="Times New Roman" w:hAnsi="Times New Roman" w:cs="Times New Roman"/>
          <w:i/>
          <w:u w:val="single"/>
          <w:lang w:val="en-GB"/>
        </w:rPr>
        <w:t>There are substantial margin between the simulation result and the specified SNR level for power imbalance test. ICS value of 30dBc is feasible.</w:t>
      </w:r>
    </w:p>
    <w:p w14:paraId="5831232C" w14:textId="459D00B6" w:rsidR="00437456" w:rsidRPr="00437456" w:rsidRDefault="00437456" w:rsidP="00EB39FB">
      <w:pPr>
        <w:rPr>
          <w:b/>
          <w:lang w:val="en-GB"/>
        </w:rPr>
      </w:pPr>
      <w:r w:rsidRPr="00437456">
        <w:rPr>
          <w:rFonts w:ascii="Times New Roman" w:hAnsi="Times New Roman" w:cs="Times New Roman"/>
          <w:b/>
          <w:u w:val="single"/>
          <w:lang w:val="en-GB"/>
        </w:rPr>
        <w:t>Proposal:</w:t>
      </w:r>
      <w:r w:rsidRPr="00437456">
        <w:rPr>
          <w:rFonts w:ascii="Times New Roman" w:hAnsi="Times New Roman" w:cs="Times New Roman"/>
          <w:b/>
          <w:lang w:val="en-GB"/>
        </w:rPr>
        <w:t xml:space="preserve"> Define power imbalance test using ICS = 30dBc option. Strong link SNR level should be 33.35dB.</w:t>
      </w:r>
    </w:p>
    <w:p w14:paraId="5C860B5A" w14:textId="77777777" w:rsidR="00AC1D3D" w:rsidRDefault="00AC1D3D" w:rsidP="00AC1D3D">
      <w:pPr>
        <w:pStyle w:val="Heading1"/>
      </w:pPr>
      <w:r>
        <w:t>Conclusions</w:t>
      </w:r>
    </w:p>
    <w:p w14:paraId="1161FFBF" w14:textId="77777777" w:rsidR="00437456" w:rsidRPr="00437456" w:rsidRDefault="00437456" w:rsidP="00437456">
      <w:pPr>
        <w:rPr>
          <w:rFonts w:ascii="Times New Roman" w:hAnsi="Times New Roman" w:cs="Times New Roman"/>
          <w:i/>
          <w:u w:val="single"/>
          <w:lang w:val="en-GB"/>
        </w:rPr>
      </w:pPr>
      <w:r w:rsidRPr="00437456">
        <w:rPr>
          <w:rFonts w:ascii="Times New Roman" w:hAnsi="Times New Roman" w:cs="Times New Roman"/>
          <w:b/>
          <w:i/>
          <w:u w:val="single"/>
          <w:lang w:val="en-GB"/>
        </w:rPr>
        <w:t xml:space="preserve">Observation: </w:t>
      </w:r>
      <w:r w:rsidRPr="00437456">
        <w:rPr>
          <w:rFonts w:ascii="Times New Roman" w:hAnsi="Times New Roman" w:cs="Times New Roman"/>
          <w:i/>
          <w:u w:val="single"/>
          <w:lang w:val="en-GB"/>
        </w:rPr>
        <w:t>There are substantial margin between the simulation result and the specified SNR level for power imbalance test. ICS value of 30dBc is feasible.</w:t>
      </w:r>
    </w:p>
    <w:p w14:paraId="17BB6163" w14:textId="079E273C" w:rsidR="00607454" w:rsidRPr="00437456" w:rsidRDefault="00437456" w:rsidP="00607454">
      <w:pPr>
        <w:rPr>
          <w:b/>
          <w:lang w:val="en-GB"/>
        </w:rPr>
      </w:pPr>
      <w:r w:rsidRPr="00437456">
        <w:rPr>
          <w:rFonts w:ascii="Times New Roman" w:hAnsi="Times New Roman" w:cs="Times New Roman"/>
          <w:b/>
          <w:u w:val="single"/>
          <w:lang w:val="en-GB"/>
        </w:rPr>
        <w:lastRenderedPageBreak/>
        <w:t>Proposal:</w:t>
      </w:r>
      <w:r w:rsidRPr="00437456">
        <w:rPr>
          <w:rFonts w:ascii="Times New Roman" w:hAnsi="Times New Roman" w:cs="Times New Roman"/>
          <w:b/>
          <w:lang w:val="en-GB"/>
        </w:rPr>
        <w:t xml:space="preserve"> Define power imbalance test using ICS = 30dBc option. Strong link SNR level should be 33.35dB.</w:t>
      </w:r>
    </w:p>
    <w:p w14:paraId="0A93CEE9" w14:textId="77777777" w:rsidR="00AC1D3D" w:rsidRPr="00C97B98" w:rsidRDefault="00607454" w:rsidP="00607454">
      <w:pPr>
        <w:pStyle w:val="Heading1"/>
      </w:pPr>
      <w:r>
        <w:t>References</w:t>
      </w:r>
    </w:p>
    <w:p w14:paraId="6375801B" w14:textId="6621A079" w:rsidR="00BC3380" w:rsidRPr="000822D8" w:rsidRDefault="00592EA3" w:rsidP="00BC3380">
      <w:pPr>
        <w:rPr>
          <w:rFonts w:ascii="Times New Roman" w:hAnsi="Times New Roman" w:cs="Times New Roman"/>
        </w:rPr>
      </w:pPr>
      <w:r w:rsidRPr="000822D8">
        <w:rPr>
          <w:rFonts w:ascii="Times New Roman" w:hAnsi="Times New Roman" w:cs="Times New Roman"/>
        </w:rPr>
        <w:t xml:space="preserve">[1] </w:t>
      </w:r>
      <w:r w:rsidR="00886DB7" w:rsidRPr="000822D8">
        <w:rPr>
          <w:rFonts w:ascii="Times New Roman" w:hAnsi="Times New Roman" w:cs="Times New Roman"/>
        </w:rPr>
        <w:t>R4-1709090</w:t>
      </w:r>
      <w:r w:rsidR="00BC3380" w:rsidRPr="000822D8">
        <w:rPr>
          <w:rFonts w:ascii="Times New Roman" w:hAnsi="Times New Roman" w:cs="Times New Roman"/>
        </w:rPr>
        <w:t xml:space="preserve"> -</w:t>
      </w:r>
      <w:r w:rsidRPr="000822D8">
        <w:rPr>
          <w:rFonts w:ascii="Times New Roman" w:hAnsi="Times New Roman" w:cs="Times New Roman"/>
        </w:rPr>
        <w:t xml:space="preserve"> </w:t>
      </w:r>
      <w:r w:rsidR="00886DB7" w:rsidRPr="000822D8">
        <w:rPr>
          <w:rFonts w:ascii="Times New Roman" w:hAnsi="Times New Roman" w:cs="Times New Roman"/>
        </w:rPr>
        <w:t>WF on ICS Value in Power Imbalance Test. Qualcomm Inc., LGE</w:t>
      </w:r>
    </w:p>
    <w:p w14:paraId="2DC0863E" w14:textId="054F6EFC" w:rsidR="00612714" w:rsidRPr="000822D8" w:rsidRDefault="000822D8" w:rsidP="000822D8">
      <w:pPr>
        <w:rPr>
          <w:rFonts w:ascii="Arial" w:hAnsi="Arial" w:cs="Arial"/>
          <w:color w:val="000000"/>
        </w:rPr>
      </w:pPr>
      <w:r w:rsidRPr="000822D8">
        <w:rPr>
          <w:rFonts w:ascii="Times New Roman" w:hAnsi="Times New Roman" w:cs="Times New Roman"/>
          <w:color w:val="000000"/>
        </w:rPr>
        <w:t xml:space="preserve">[2] TS 36.101 - </w:t>
      </w:r>
      <w:r w:rsidRPr="000822D8">
        <w:rPr>
          <w:rFonts w:ascii="Times New Roman" w:hAnsi="Times New Roman" w:cs="Times New Roman"/>
          <w:color w:val="000000"/>
        </w:rPr>
        <w:t xml:space="preserve">3rd </w:t>
      </w:r>
      <w:r w:rsidRPr="000822D8">
        <w:rPr>
          <w:rFonts w:ascii="Times New Roman" w:hAnsi="Times New Roman" w:cs="Times New Roman"/>
          <w:color w:val="000000"/>
        </w:rPr>
        <w:t xml:space="preserve">Generation Partnership Project, </w:t>
      </w:r>
      <w:r w:rsidRPr="000822D8">
        <w:rPr>
          <w:rFonts w:ascii="Times New Roman" w:hAnsi="Times New Roman" w:cs="Times New Roman"/>
          <w:color w:val="000000"/>
        </w:rPr>
        <w:t>Technical Specificat</w:t>
      </w:r>
      <w:r w:rsidRPr="000822D8">
        <w:rPr>
          <w:rFonts w:ascii="Times New Roman" w:hAnsi="Times New Roman" w:cs="Times New Roman"/>
          <w:color w:val="000000"/>
        </w:rPr>
        <w:t xml:space="preserve">ion Group Radio Access Network; </w:t>
      </w:r>
      <w:r w:rsidRPr="000822D8">
        <w:rPr>
          <w:rFonts w:ascii="Times New Roman" w:hAnsi="Times New Roman" w:cs="Times New Roman"/>
          <w:color w:val="000000"/>
        </w:rPr>
        <w:t>Evolved Universal Ter</w:t>
      </w:r>
      <w:r w:rsidRPr="000822D8">
        <w:rPr>
          <w:rFonts w:ascii="Times New Roman" w:hAnsi="Times New Roman" w:cs="Times New Roman"/>
          <w:color w:val="000000"/>
        </w:rPr>
        <w:t xml:space="preserve">restrial Radio Access (E-UTRA); </w:t>
      </w:r>
      <w:r w:rsidRPr="000822D8">
        <w:rPr>
          <w:rFonts w:ascii="Times New Roman" w:hAnsi="Times New Roman" w:cs="Times New Roman"/>
          <w:color w:val="000000"/>
        </w:rPr>
        <w:t>User Equipment (UE) r</w:t>
      </w:r>
      <w:r w:rsidRPr="000822D8">
        <w:rPr>
          <w:rFonts w:ascii="Times New Roman" w:hAnsi="Times New Roman" w:cs="Times New Roman"/>
          <w:color w:val="000000"/>
        </w:rPr>
        <w:t xml:space="preserve">adio transmission and reception </w:t>
      </w:r>
      <w:r w:rsidRPr="000822D8">
        <w:rPr>
          <w:rFonts w:ascii="Times New Roman" w:hAnsi="Times New Roman" w:cs="Times New Roman"/>
          <w:color w:val="000000"/>
        </w:rPr>
        <w:t>(Release 14)</w:t>
      </w:r>
      <w:r w:rsidRPr="000822D8">
        <w:rPr>
          <w:rFonts w:ascii="Arial" w:hAnsi="Arial" w:cs="Arial"/>
          <w:color w:val="000000"/>
        </w:rPr>
        <w:t xml:space="preserve"> </w:t>
      </w:r>
    </w:p>
    <w:sectPr w:rsidR="00612714" w:rsidRPr="000822D8" w:rsidSect="009A189D">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5084D" w14:textId="77777777" w:rsidR="00E84DEB" w:rsidRDefault="00E84DEB">
      <w:pPr>
        <w:spacing w:after="0" w:line="240" w:lineRule="auto"/>
      </w:pPr>
      <w:r>
        <w:separator/>
      </w:r>
    </w:p>
  </w:endnote>
  <w:endnote w:type="continuationSeparator" w:id="0">
    <w:p w14:paraId="1D7C5A33" w14:textId="77777777" w:rsidR="00E84DEB" w:rsidRDefault="00E84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E6EB" w14:textId="77777777"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DAB550" w14:textId="77777777" w:rsidR="00341F52" w:rsidRDefault="00341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A31C2" w14:textId="6782810E"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22D8">
      <w:rPr>
        <w:rStyle w:val="PageNumber"/>
      </w:rPr>
      <w:t>1</w:t>
    </w:r>
    <w:r>
      <w:rPr>
        <w:rStyle w:val="PageNumber"/>
      </w:rPr>
      <w:fldChar w:fldCharType="end"/>
    </w:r>
  </w:p>
  <w:p w14:paraId="58D3C767" w14:textId="77777777" w:rsidR="00341F52" w:rsidRDefault="00341F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591C9" w14:textId="77777777" w:rsidR="00E84DEB" w:rsidRDefault="00E84DEB">
      <w:pPr>
        <w:spacing w:after="0" w:line="240" w:lineRule="auto"/>
      </w:pPr>
      <w:r>
        <w:separator/>
      </w:r>
    </w:p>
  </w:footnote>
  <w:footnote w:type="continuationSeparator" w:id="0">
    <w:p w14:paraId="38069DEB" w14:textId="77777777" w:rsidR="00E84DEB" w:rsidRDefault="00E84D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D0272"/>
    <w:multiLevelType w:val="hybridMultilevel"/>
    <w:tmpl w:val="E772C85E"/>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3"/>
  </w:num>
  <w:num w:numId="3">
    <w:abstractNumId w:val="9"/>
  </w:num>
  <w:num w:numId="4">
    <w:abstractNumId w:val="22"/>
  </w:num>
  <w:num w:numId="5">
    <w:abstractNumId w:val="13"/>
  </w:num>
  <w:num w:numId="6">
    <w:abstractNumId w:val="3"/>
  </w:num>
  <w:num w:numId="7">
    <w:abstractNumId w:val="6"/>
  </w:num>
  <w:num w:numId="8">
    <w:abstractNumId w:val="4"/>
  </w:num>
  <w:num w:numId="9">
    <w:abstractNumId w:val="14"/>
  </w:num>
  <w:num w:numId="10">
    <w:abstractNumId w:val="2"/>
  </w:num>
  <w:num w:numId="11">
    <w:abstractNumId w:val="18"/>
  </w:num>
  <w:num w:numId="12">
    <w:abstractNumId w:val="7"/>
  </w:num>
  <w:num w:numId="13">
    <w:abstractNumId w:val="20"/>
  </w:num>
  <w:num w:numId="14">
    <w:abstractNumId w:val="25"/>
  </w:num>
  <w:num w:numId="15">
    <w:abstractNumId w:val="12"/>
  </w:num>
  <w:num w:numId="16">
    <w:abstractNumId w:val="10"/>
  </w:num>
  <w:num w:numId="17">
    <w:abstractNumId w:val="16"/>
  </w:num>
  <w:num w:numId="18">
    <w:abstractNumId w:val="8"/>
  </w:num>
  <w:num w:numId="19">
    <w:abstractNumId w:val="11"/>
  </w:num>
  <w:num w:numId="20">
    <w:abstractNumId w:val="15"/>
  </w:num>
  <w:num w:numId="21">
    <w:abstractNumId w:val="1"/>
  </w:num>
  <w:num w:numId="22">
    <w:abstractNumId w:val="5"/>
  </w:num>
  <w:num w:numId="23">
    <w:abstractNumId w:val="19"/>
  </w:num>
  <w:num w:numId="24">
    <w:abstractNumId w:val="21"/>
  </w:num>
  <w:num w:numId="25">
    <w:abstractNumId w:val="24"/>
  </w:num>
  <w:num w:numId="26">
    <w:abstractNumId w:val="0"/>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74410"/>
    <w:rsid w:val="0008171A"/>
    <w:rsid w:val="00081952"/>
    <w:rsid w:val="00081CCE"/>
    <w:rsid w:val="000822D8"/>
    <w:rsid w:val="00082DEC"/>
    <w:rsid w:val="00084E12"/>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45BA7"/>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479B"/>
    <w:rsid w:val="003056DF"/>
    <w:rsid w:val="00305991"/>
    <w:rsid w:val="00305E1D"/>
    <w:rsid w:val="00307054"/>
    <w:rsid w:val="0031035F"/>
    <w:rsid w:val="003125B3"/>
    <w:rsid w:val="00314F14"/>
    <w:rsid w:val="00316ABC"/>
    <w:rsid w:val="00317864"/>
    <w:rsid w:val="003242C3"/>
    <w:rsid w:val="0032518C"/>
    <w:rsid w:val="00327300"/>
    <w:rsid w:val="0032755D"/>
    <w:rsid w:val="00332705"/>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7B"/>
    <w:rsid w:val="00370EEA"/>
    <w:rsid w:val="00372286"/>
    <w:rsid w:val="00372DFC"/>
    <w:rsid w:val="003730B8"/>
    <w:rsid w:val="003738A9"/>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456"/>
    <w:rsid w:val="00437688"/>
    <w:rsid w:val="0044149F"/>
    <w:rsid w:val="00443F17"/>
    <w:rsid w:val="0044478A"/>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545E"/>
    <w:rsid w:val="00595894"/>
    <w:rsid w:val="00595DBB"/>
    <w:rsid w:val="005A0E25"/>
    <w:rsid w:val="005A2099"/>
    <w:rsid w:val="005A38C4"/>
    <w:rsid w:val="005A42D6"/>
    <w:rsid w:val="005A45E3"/>
    <w:rsid w:val="005A6C28"/>
    <w:rsid w:val="005B0557"/>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76C9"/>
    <w:rsid w:val="007F0ABF"/>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7EE9"/>
    <w:rsid w:val="008607C0"/>
    <w:rsid w:val="00866134"/>
    <w:rsid w:val="00866C16"/>
    <w:rsid w:val="00870F86"/>
    <w:rsid w:val="00873538"/>
    <w:rsid w:val="00880B3A"/>
    <w:rsid w:val="00882541"/>
    <w:rsid w:val="00886224"/>
    <w:rsid w:val="00886334"/>
    <w:rsid w:val="00886DB7"/>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1566"/>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4914"/>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D8D"/>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8FD"/>
    <w:rsid w:val="00D72DFC"/>
    <w:rsid w:val="00D74B83"/>
    <w:rsid w:val="00D75B28"/>
    <w:rsid w:val="00D81D26"/>
    <w:rsid w:val="00D85E3F"/>
    <w:rsid w:val="00D87DFB"/>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AC9"/>
    <w:rsid w:val="00DC552A"/>
    <w:rsid w:val="00DC6142"/>
    <w:rsid w:val="00DC67BE"/>
    <w:rsid w:val="00DD1F0A"/>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4DEB"/>
    <w:rsid w:val="00E86327"/>
    <w:rsid w:val="00E94323"/>
    <w:rsid w:val="00E95B81"/>
    <w:rsid w:val="00E96C52"/>
    <w:rsid w:val="00E97B2B"/>
    <w:rsid w:val="00E97C36"/>
    <w:rsid w:val="00EA08A6"/>
    <w:rsid w:val="00EA173C"/>
    <w:rsid w:val="00EA4D8D"/>
    <w:rsid w:val="00EA68AD"/>
    <w:rsid w:val="00EB2AFB"/>
    <w:rsid w:val="00EB39FB"/>
    <w:rsid w:val="00EB4FAB"/>
    <w:rsid w:val="00EB7592"/>
    <w:rsid w:val="00EC1B70"/>
    <w:rsid w:val="00EC3454"/>
    <w:rsid w:val="00EC39E2"/>
    <w:rsid w:val="00EC4292"/>
    <w:rsid w:val="00EC598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E1117"/>
    <w:rsid w:val="00FE1C50"/>
    <w:rsid w:val="00FE1E18"/>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7BE2F"/>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7456"/>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table" w:styleId="TableGrid">
    <w:name w:val="Table Grid"/>
    <w:basedOn w:val="TableNormal"/>
    <w:uiPriority w:val="39"/>
    <w:rsid w:val="00EB3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924457220">
      <w:bodyDiv w:val="1"/>
      <w:marLeft w:val="0"/>
      <w:marRight w:val="0"/>
      <w:marTop w:val="0"/>
      <w:marBottom w:val="0"/>
      <w:divBdr>
        <w:top w:val="none" w:sz="0" w:space="0" w:color="auto"/>
        <w:left w:val="none" w:sz="0" w:space="0" w:color="auto"/>
        <w:bottom w:val="none" w:sz="0" w:space="0" w:color="auto"/>
        <w:right w:val="none" w:sz="0" w:space="0" w:color="auto"/>
      </w:divBdr>
    </w:div>
    <w:div w:id="966550907">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3051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N6KZ5FJUH56N-2-3821</_dlc_DocId>
    <_dlc_DocIdUrl xmlns="61b4827f-6107-4548-85d2-bee677143c1f">
      <Url>https://projects.qualcomm.com/sites/avante/_layouts/15/DocIdRedir.aspx?ID=N6KZ5FJUH56N-2-3821</Url>
      <Description>N6KZ5FJUH56N-2-3821</Description>
    </_dlc_DocIdUrl>
  </documentManagement>
</p:properties>
</file>

<file path=customXml/itemProps1.xml><?xml version="1.0" encoding="utf-8"?>
<ds:datastoreItem xmlns:ds="http://schemas.openxmlformats.org/officeDocument/2006/customXml" ds:itemID="{74D03A1E-FB7B-4401-83EC-6244F939F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65184E-50C0-4D4C-B3B4-22AC66241C53}">
  <ds:schemaRefs>
    <ds:schemaRef ds:uri="http://schemas.microsoft.com/sharepoint/events"/>
  </ds:schemaRefs>
</ds:datastoreItem>
</file>

<file path=customXml/itemProps3.xml><?xml version="1.0" encoding="utf-8"?>
<ds:datastoreItem xmlns:ds="http://schemas.openxmlformats.org/officeDocument/2006/customXml" ds:itemID="{718BFB7A-90B9-4AEA-A3A2-4B4717288978}">
  <ds:schemaRefs>
    <ds:schemaRef ds:uri="http://schemas.microsoft.com/sharepoint/v3/contenttype/forms"/>
  </ds:schemaRefs>
</ds:datastoreItem>
</file>

<file path=customXml/itemProps4.xml><?xml version="1.0" encoding="utf-8"?>
<ds:datastoreItem xmlns:ds="http://schemas.openxmlformats.org/officeDocument/2006/customXml" ds:itemID="{447ACA01-2E5F-4690-A30F-EC5F501FB5C1}">
  <ds:schemaRefs>
    <ds:schemaRef ds:uri="http://schemas.microsoft.com/office/2006/documentManagement/types"/>
    <ds:schemaRef ds:uri="http://purl.org/dc/terms/"/>
    <ds:schemaRef ds:uri="http://purl.org/dc/dcmitype/"/>
    <ds:schemaRef ds:uri="http://schemas.microsoft.com/sharepoint/v3"/>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61b4827f-6107-4548-85d2-bee677143c1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2017-10-02T00:48:00Z</dcterms:created>
  <dcterms:modified xsi:type="dcterms:W3CDTF">2017-10-02T00:48:00Z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f94828a9-4a48-48e6-8d29-83cac03fa950</vt:lpwstr>
  </property>
</Properties>
</file>